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cs="Times New Roman"/>
          <w:b/>
        </w:rPr>
      </w:pPr>
      <w:bookmarkStart w:id="0" w:name="_GoBack"/>
      <w:bookmarkEnd w:id="0"/>
      <w:r>
        <w:rPr>
          <w:rFonts w:hint="eastAsia" w:ascii="Times New Roman" w:hAnsi="Times New Roman" w:cs="Times New Roman"/>
          <w:b/>
        </w:rPr>
        <w:t>附件：</w:t>
      </w:r>
    </w:p>
    <w:p>
      <w:pPr>
        <w:spacing w:line="360" w:lineRule="auto"/>
        <w:jc w:val="center"/>
        <w:rPr>
          <w:rFonts w:ascii="Times New Roman" w:hAnsi="Times New Roman" w:cs="Times New Roman"/>
        </w:rPr>
      </w:pPr>
      <w:r>
        <w:rPr>
          <w:rFonts w:ascii="Times New Roman" w:hAnsi="Times New Roman" w:cs="Times New Roman"/>
        </w:rPr>
        <w:t>2023年</w:t>
      </w:r>
      <w:r>
        <w:rPr>
          <w:rFonts w:hint="eastAsia" w:ascii="Times New Roman" w:hAnsi="Times New Roman" w:cs="Times New Roman"/>
        </w:rPr>
        <w:t>安徽医科大学第二批国家级“双万计划”</w:t>
      </w:r>
      <w:r>
        <w:rPr>
          <w:rFonts w:ascii="Times New Roman" w:hAnsi="Times New Roman" w:cs="Times New Roman"/>
        </w:rPr>
        <w:t>公共事业管理专业国家级一流专业建设规划项目立项清单</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819"/>
        <w:gridCol w:w="481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17" w:type="dxa"/>
            <w:vAlign w:val="center"/>
          </w:tcPr>
          <w:p>
            <w:pPr>
              <w:spacing w:line="276" w:lineRule="auto"/>
              <w:jc w:val="center"/>
              <w:rPr>
                <w:rFonts w:ascii="Times New Roman" w:hAnsi="Times New Roman" w:cs="Times New Roman"/>
                <w:b/>
                <w:sz w:val="20"/>
                <w:szCs w:val="20"/>
              </w:rPr>
            </w:pPr>
            <w:r>
              <w:rPr>
                <w:rFonts w:hint="eastAsia" w:ascii="Times New Roman" w:hAnsi="Times New Roman" w:cs="Times New Roman"/>
                <w:b/>
                <w:sz w:val="20"/>
                <w:szCs w:val="20"/>
              </w:rPr>
              <w:t>序号</w:t>
            </w:r>
          </w:p>
        </w:tc>
        <w:tc>
          <w:tcPr>
            <w:tcW w:w="1819" w:type="dxa"/>
            <w:vAlign w:val="center"/>
          </w:tcPr>
          <w:p>
            <w:pPr>
              <w:spacing w:line="276" w:lineRule="auto"/>
              <w:jc w:val="center"/>
              <w:rPr>
                <w:rFonts w:ascii="Times New Roman" w:hAnsi="Times New Roman" w:cs="Times New Roman"/>
                <w:b/>
                <w:sz w:val="20"/>
                <w:szCs w:val="20"/>
              </w:rPr>
            </w:pPr>
            <w:r>
              <w:rPr>
                <w:rFonts w:hint="eastAsia" w:ascii="Times New Roman" w:hAnsi="Times New Roman" w:cs="Times New Roman"/>
                <w:b/>
                <w:sz w:val="20"/>
                <w:szCs w:val="20"/>
              </w:rPr>
              <w:t>项目类别</w:t>
            </w:r>
          </w:p>
        </w:tc>
        <w:tc>
          <w:tcPr>
            <w:tcW w:w="4818" w:type="dxa"/>
            <w:vAlign w:val="center"/>
          </w:tcPr>
          <w:p>
            <w:pPr>
              <w:spacing w:line="276" w:lineRule="auto"/>
              <w:jc w:val="center"/>
              <w:rPr>
                <w:rFonts w:ascii="Times New Roman" w:hAnsi="Times New Roman" w:cs="Times New Roman"/>
                <w:b/>
                <w:sz w:val="20"/>
                <w:szCs w:val="20"/>
              </w:rPr>
            </w:pPr>
            <w:r>
              <w:rPr>
                <w:rFonts w:hint="eastAsia" w:ascii="Times New Roman" w:hAnsi="Times New Roman" w:cs="Times New Roman"/>
                <w:b/>
                <w:sz w:val="20"/>
                <w:szCs w:val="20"/>
              </w:rPr>
              <w:t>项目名称</w:t>
            </w:r>
          </w:p>
        </w:tc>
        <w:tc>
          <w:tcPr>
            <w:tcW w:w="851" w:type="dxa"/>
            <w:vAlign w:val="center"/>
          </w:tcPr>
          <w:p>
            <w:pPr>
              <w:spacing w:line="276" w:lineRule="auto"/>
              <w:jc w:val="center"/>
              <w:rPr>
                <w:rFonts w:ascii="Times New Roman" w:hAnsi="Times New Roman" w:cs="Times New Roman"/>
                <w:b/>
                <w:sz w:val="20"/>
                <w:szCs w:val="20"/>
              </w:rPr>
            </w:pPr>
            <w:r>
              <w:rPr>
                <w:rFonts w:hint="eastAsia" w:ascii="Times New Roman" w:hAnsi="Times New Roman" w:cs="Times New Roman"/>
                <w:b/>
                <w:sz w:val="20"/>
                <w:szCs w:val="20"/>
              </w:rPr>
              <w:t>经费额度（万）</w:t>
            </w:r>
          </w:p>
        </w:tc>
        <w:tc>
          <w:tcPr>
            <w:tcW w:w="850" w:type="dxa"/>
            <w:vAlign w:val="center"/>
          </w:tcPr>
          <w:p>
            <w:pPr>
              <w:spacing w:line="276" w:lineRule="auto"/>
              <w:jc w:val="center"/>
              <w:rPr>
                <w:rFonts w:ascii="Times New Roman" w:hAnsi="Times New Roman" w:cs="Times New Roman"/>
                <w:b/>
                <w:sz w:val="20"/>
                <w:szCs w:val="20"/>
              </w:rPr>
            </w:pPr>
            <w:r>
              <w:rPr>
                <w:rFonts w:hint="eastAsia" w:ascii="Times New Roman" w:hAnsi="Times New Roman" w:cs="Times New Roman"/>
                <w:b/>
                <w:sz w:val="20"/>
                <w:szCs w:val="20"/>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w:t>
            </w:r>
          </w:p>
        </w:tc>
        <w:tc>
          <w:tcPr>
            <w:tcW w:w="1819" w:type="dxa"/>
            <w:vAlign w:val="center"/>
          </w:tcPr>
          <w:p>
            <w:pPr>
              <w:jc w:val="left"/>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实践培育项目</w:t>
            </w:r>
          </w:p>
        </w:tc>
        <w:tc>
          <w:tcPr>
            <w:tcW w:w="4818" w:type="dxa"/>
            <w:vAlign w:val="center"/>
          </w:tcPr>
          <w:p>
            <w:pPr>
              <w:jc w:val="left"/>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理论实践面对面系列活动</w:t>
            </w:r>
          </w:p>
        </w:tc>
        <w:tc>
          <w:tcPr>
            <w:tcW w:w="851"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15</w:t>
            </w:r>
          </w:p>
        </w:tc>
        <w:tc>
          <w:tcPr>
            <w:tcW w:w="850"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w:t>
            </w:r>
          </w:p>
        </w:tc>
        <w:tc>
          <w:tcPr>
            <w:tcW w:w="1819"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校企合作实践教育基地项目</w:t>
            </w:r>
          </w:p>
        </w:tc>
        <w:tc>
          <w:tcPr>
            <w:tcW w:w="4818" w:type="dxa"/>
            <w:vAlign w:val="center"/>
          </w:tcPr>
          <w:p>
            <w:pPr>
              <w:jc w:val="left"/>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中国式现代化视域下公共事业管理专（卫生事业管理方向）专业建设和教学管理现况与评价</w:t>
            </w:r>
          </w:p>
        </w:tc>
        <w:tc>
          <w:tcPr>
            <w:tcW w:w="851"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w:t>
            </w:r>
          </w:p>
        </w:tc>
        <w:tc>
          <w:tcPr>
            <w:tcW w:w="850"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查晓丽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3</w:t>
            </w:r>
          </w:p>
        </w:tc>
        <w:tc>
          <w:tcPr>
            <w:tcW w:w="1819" w:type="dxa"/>
            <w:vMerge w:val="restart"/>
            <w:vAlign w:val="center"/>
          </w:tcPr>
          <w:p>
            <w:pPr>
              <w:jc w:val="left"/>
              <w:rPr>
                <w:rFonts w:cs="Times New Roman"/>
                <w:color w:val="000000"/>
                <w:sz w:val="20"/>
                <w:szCs w:val="20"/>
              </w:rPr>
            </w:pPr>
            <w:r>
              <w:rPr>
                <w:rFonts w:cs="Times New Roman"/>
                <w:color w:val="000000"/>
                <w:sz w:val="20"/>
                <w:szCs w:val="20"/>
              </w:rPr>
              <w:t>线上线下混合式和社会实践课程项目</w:t>
            </w: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卫生政策学</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4</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公共管理学</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严静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5</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社会医学</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陈贵梅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6</w:t>
            </w:r>
          </w:p>
        </w:tc>
        <w:tc>
          <w:tcPr>
            <w:tcW w:w="1819" w:type="dxa"/>
            <w:vMerge w:val="restart"/>
            <w:vAlign w:val="center"/>
          </w:tcPr>
          <w:p>
            <w:pPr>
              <w:jc w:val="left"/>
              <w:rPr>
                <w:rFonts w:cs="Times New Roman"/>
                <w:color w:val="000000"/>
                <w:sz w:val="20"/>
                <w:szCs w:val="20"/>
              </w:rPr>
            </w:pPr>
            <w:r>
              <w:rPr>
                <w:rFonts w:cs="Times New Roman"/>
                <w:color w:val="000000"/>
                <w:sz w:val="20"/>
                <w:szCs w:val="20"/>
              </w:rPr>
              <w:t>教育教学成果培育项目</w:t>
            </w:r>
          </w:p>
        </w:tc>
        <w:tc>
          <w:tcPr>
            <w:tcW w:w="4818"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基于Kolb学习圈理论的卫生政策与管理EOCE进阶式教学模式与实践</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7</w:t>
            </w:r>
          </w:p>
        </w:tc>
        <w:tc>
          <w:tcPr>
            <w:tcW w:w="1819" w:type="dxa"/>
            <w:vMerge w:val="continue"/>
            <w:vAlign w:val="center"/>
          </w:tcPr>
          <w:p>
            <w:pPr>
              <w:jc w:val="left"/>
              <w:rPr>
                <w:rFonts w:cs="Times New Roman"/>
                <w:color w:val="000000"/>
                <w:sz w:val="20"/>
                <w:szCs w:val="20"/>
              </w:rPr>
            </w:pPr>
          </w:p>
        </w:tc>
        <w:tc>
          <w:tcPr>
            <w:tcW w:w="4818"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卫生管理基层教研室建设模式创新及应用</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陈任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8</w:t>
            </w:r>
          </w:p>
        </w:tc>
        <w:tc>
          <w:tcPr>
            <w:tcW w:w="1819" w:type="dxa"/>
            <w:vMerge w:val="continue"/>
            <w:vAlign w:val="center"/>
          </w:tcPr>
          <w:p>
            <w:pPr>
              <w:jc w:val="left"/>
              <w:rPr>
                <w:rFonts w:cs="Times New Roman"/>
                <w:color w:val="000000"/>
                <w:sz w:val="20"/>
                <w:szCs w:val="20"/>
              </w:rPr>
            </w:pPr>
          </w:p>
        </w:tc>
        <w:tc>
          <w:tcPr>
            <w:tcW w:w="4818"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依托一流专业建设，基于理论与实践双驱动，培养注重知行合一的卫生管理人才</w:t>
            </w:r>
          </w:p>
        </w:tc>
        <w:tc>
          <w:tcPr>
            <w:tcW w:w="851"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5</w:t>
            </w:r>
          </w:p>
        </w:tc>
        <w:tc>
          <w:tcPr>
            <w:tcW w:w="850" w:type="dxa"/>
            <w:vAlign w:val="center"/>
          </w:tcPr>
          <w:p>
            <w:pPr>
              <w:spacing w:line="276" w:lineRule="auto"/>
              <w:jc w:val="left"/>
              <w:rPr>
                <w:rFonts w:ascii="Times New Roman" w:hAnsi="Times New Roman" w:cs="Times New Roman"/>
                <w:sz w:val="20"/>
                <w:szCs w:val="20"/>
              </w:rPr>
            </w:pPr>
            <w:r>
              <w:rPr>
                <w:rFonts w:ascii="Times New Roman" w:hAnsi="Times New Roman" w:cs="Times New Roman"/>
                <w:sz w:val="20"/>
                <w:szCs w:val="20"/>
              </w:rPr>
              <w:t>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9</w:t>
            </w:r>
          </w:p>
        </w:tc>
        <w:tc>
          <w:tcPr>
            <w:tcW w:w="1819" w:type="dxa"/>
            <w:vMerge w:val="restart"/>
            <w:vAlign w:val="center"/>
          </w:tcPr>
          <w:p>
            <w:pPr>
              <w:jc w:val="left"/>
              <w:rPr>
                <w:rFonts w:cs="Times New Roman"/>
                <w:color w:val="000000"/>
                <w:sz w:val="20"/>
                <w:szCs w:val="20"/>
              </w:rPr>
            </w:pPr>
            <w:r>
              <w:rPr>
                <w:rFonts w:cs="Times New Roman"/>
                <w:color w:val="000000"/>
                <w:sz w:val="20"/>
                <w:szCs w:val="20"/>
              </w:rPr>
              <w:t>第二课堂实践项目</w:t>
            </w: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安徽省地方标准《健康教育处方规范》宣贯</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辛昌茂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10</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安徽省慢性病患者就医行为及其影响因素调查</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张海锋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11</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公共事业管理专业大学生就业区域意愿选择的影响因素与引导策略研究</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李敏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12</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合肥市社区慢病老人可穿戴医疗设备使用现状调研</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王婧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13</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创新能力视域下卫生管理专业本科生信息素养提升策略研究</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王筱婷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14</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农村低收入人群健康风险调查</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丁宏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15</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社区孕产妇产后心理健康调查</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李慧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16</w:t>
            </w:r>
          </w:p>
        </w:tc>
        <w:tc>
          <w:tcPr>
            <w:tcW w:w="1819" w:type="dxa"/>
            <w:vMerge w:val="restart"/>
            <w:vAlign w:val="center"/>
          </w:tcPr>
          <w:p>
            <w:pPr>
              <w:spacing w:line="360" w:lineRule="auto"/>
              <w:jc w:val="left"/>
              <w:rPr>
                <w:rFonts w:cs="Times New Roman"/>
                <w:color w:val="000000"/>
                <w:sz w:val="20"/>
                <w:szCs w:val="20"/>
              </w:rPr>
            </w:pPr>
            <w:r>
              <w:rPr>
                <w:rFonts w:cs="Times New Roman"/>
                <w:color w:val="000000"/>
                <w:sz w:val="20"/>
                <w:szCs w:val="20"/>
              </w:rPr>
              <w:t>教学研究项目</w:t>
            </w:r>
          </w:p>
        </w:tc>
        <w:tc>
          <w:tcPr>
            <w:tcW w:w="4818" w:type="dxa"/>
            <w:vAlign w:val="center"/>
          </w:tcPr>
          <w:p>
            <w:pPr>
              <w:jc w:val="left"/>
              <w:rPr>
                <w:rFonts w:ascii="Times New Roman" w:hAnsi="Times New Roman" w:eastAsia="宋体" w:cs="Times New Roman"/>
                <w:color w:val="000000"/>
                <w:sz w:val="20"/>
                <w:szCs w:val="20"/>
              </w:rPr>
            </w:pPr>
            <w:r>
              <w:rPr>
                <w:rFonts w:ascii="Times New Roman" w:hAnsi="Times New Roman" w:cs="Times New Roman"/>
                <w:color w:val="000000"/>
                <w:sz w:val="20"/>
                <w:szCs w:val="20"/>
              </w:rPr>
              <w:t>公共事业管理专业在读本科生对RBL教学模式的认知与需求研究</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陈贵梅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17</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基于岗位胜任力提升的公共事业管理专业创新实践教学模式研究</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张燕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18</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ascii="Times New Roman" w:hAnsi="Times New Roman" w:cs="Times New Roman"/>
                <w:color w:val="000000"/>
                <w:sz w:val="20"/>
                <w:szCs w:val="20"/>
              </w:rPr>
              <w:t>“</w:t>
            </w:r>
            <w:r>
              <w:rPr>
                <w:rFonts w:hint="eastAsia" w:cs="Times New Roman"/>
                <w:color w:val="000000"/>
                <w:sz w:val="20"/>
                <w:szCs w:val="20"/>
              </w:rPr>
              <w:t>医用高等数学</w:t>
            </w:r>
            <w:r>
              <w:rPr>
                <w:rFonts w:ascii="Times New Roman" w:hAnsi="Times New Roman" w:cs="Times New Roman"/>
                <w:color w:val="000000"/>
                <w:sz w:val="20"/>
                <w:szCs w:val="20"/>
              </w:rPr>
              <w:t>”</w:t>
            </w:r>
            <w:r>
              <w:rPr>
                <w:rFonts w:hint="eastAsia" w:cs="Times New Roman"/>
                <w:color w:val="000000"/>
                <w:sz w:val="20"/>
                <w:szCs w:val="20"/>
              </w:rPr>
              <w:t>与卫生管理交叉主题挖掘及教学教法研究</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孙江洁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19</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基于</w:t>
            </w:r>
            <w:r>
              <w:rPr>
                <w:rFonts w:ascii="Times New Roman" w:hAnsi="Times New Roman" w:cs="Times New Roman"/>
                <w:color w:val="000000"/>
                <w:sz w:val="20"/>
                <w:szCs w:val="20"/>
              </w:rPr>
              <w:t>“</w:t>
            </w:r>
            <w:r>
              <w:rPr>
                <w:rFonts w:hint="eastAsia" w:cs="Times New Roman"/>
                <w:color w:val="000000"/>
                <w:sz w:val="20"/>
                <w:szCs w:val="20"/>
              </w:rPr>
              <w:t>三明治</w:t>
            </w:r>
            <w:r>
              <w:rPr>
                <w:rFonts w:ascii="Times New Roman" w:hAnsi="Times New Roman" w:cs="Times New Roman"/>
                <w:color w:val="000000"/>
                <w:sz w:val="20"/>
                <w:szCs w:val="20"/>
              </w:rPr>
              <w:t>”</w:t>
            </w:r>
            <w:r>
              <w:rPr>
                <w:rFonts w:hint="eastAsia" w:cs="Times New Roman"/>
                <w:color w:val="000000"/>
                <w:sz w:val="20"/>
                <w:szCs w:val="20"/>
              </w:rPr>
              <w:t>教学法的卫生管理信息系统课程教学设计与探索</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徐王权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20</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ascii="Times New Roman" w:hAnsi="Times New Roman" w:cs="Times New Roman"/>
                <w:color w:val="000000"/>
                <w:sz w:val="20"/>
                <w:szCs w:val="20"/>
              </w:rPr>
              <w:t>“PBL+BOPPPS”</w:t>
            </w:r>
            <w:r>
              <w:rPr>
                <w:rFonts w:hint="eastAsia" w:cs="Times New Roman"/>
                <w:color w:val="000000"/>
                <w:sz w:val="20"/>
                <w:szCs w:val="20"/>
              </w:rPr>
              <w:t>教学模式在管理学课程教学中的探索与实践</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梁函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21</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新医科背景下专创融合课程改革与设计</w:t>
            </w:r>
            <w:r>
              <w:rPr>
                <w:rFonts w:ascii="Times New Roman" w:hAnsi="Times New Roman" w:cs="Times New Roman"/>
                <w:color w:val="000000"/>
                <w:sz w:val="20"/>
                <w:szCs w:val="20"/>
              </w:rPr>
              <w:t>——</w:t>
            </w:r>
            <w:r>
              <w:rPr>
                <w:rFonts w:hint="eastAsia" w:cs="Times New Roman"/>
                <w:color w:val="000000"/>
                <w:sz w:val="20"/>
                <w:szCs w:val="20"/>
              </w:rPr>
              <w:t>《医院管理学》为例</w:t>
            </w:r>
          </w:p>
        </w:tc>
        <w:tc>
          <w:tcPr>
            <w:tcW w:w="851" w:type="dxa"/>
            <w:vAlign w:val="center"/>
          </w:tcPr>
          <w:p>
            <w:pPr>
              <w:jc w:val="left"/>
              <w:rPr>
                <w:sz w:val="20"/>
                <w:szCs w:val="20"/>
              </w:rPr>
            </w:pPr>
            <w:r>
              <w:rPr>
                <w:rFonts w:ascii="Times New Roman" w:hAnsi="Times New Roman" w:cs="Times New Roman"/>
                <w:sz w:val="20"/>
                <w:szCs w:val="20"/>
              </w:rPr>
              <w:t>2</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张海锋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22</w:t>
            </w:r>
          </w:p>
        </w:tc>
        <w:tc>
          <w:tcPr>
            <w:tcW w:w="1819" w:type="dxa"/>
            <w:vMerge w:val="restart"/>
            <w:vAlign w:val="center"/>
          </w:tcPr>
          <w:p>
            <w:pPr>
              <w:jc w:val="left"/>
              <w:rPr>
                <w:rFonts w:cs="Times New Roman"/>
                <w:color w:val="000000"/>
                <w:sz w:val="20"/>
                <w:szCs w:val="20"/>
              </w:rPr>
            </w:pPr>
            <w:r>
              <w:rPr>
                <w:rFonts w:cs="Times New Roman"/>
                <w:color w:val="000000"/>
                <w:sz w:val="20"/>
                <w:szCs w:val="20"/>
              </w:rPr>
              <w:t>试题库建设项目</w:t>
            </w:r>
          </w:p>
        </w:tc>
        <w:tc>
          <w:tcPr>
            <w:tcW w:w="4818"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卫生经济学</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Times New Roman" w:hAnsi="Times New Roman" w:eastAsia="宋体" w:cs="Times New Roman"/>
                <w:color w:val="000000"/>
                <w:sz w:val="20"/>
                <w:szCs w:val="20"/>
              </w:rPr>
            </w:pPr>
            <w:r>
              <w:rPr>
                <w:rFonts w:hint="eastAsia" w:cs="Times New Roman"/>
                <w:color w:val="000000"/>
                <w:sz w:val="20"/>
                <w:szCs w:val="20"/>
              </w:rPr>
              <w:t>卢曼曼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23</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管理学（马工程教材）</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梁函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24</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卫生管理学</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王筱婷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25</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健康教育与健康促进</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严静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26</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hint="eastAsia"/>
                <w:color w:val="000000"/>
                <w:sz w:val="20"/>
                <w:szCs w:val="20"/>
              </w:rPr>
              <w:t>卫生政策学</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27</w:t>
            </w:r>
          </w:p>
        </w:tc>
        <w:tc>
          <w:tcPr>
            <w:tcW w:w="1819" w:type="dxa"/>
            <w:vMerge w:val="restart"/>
            <w:vAlign w:val="center"/>
          </w:tcPr>
          <w:p>
            <w:pPr>
              <w:jc w:val="left"/>
              <w:rPr>
                <w:rFonts w:cs="Times New Roman"/>
                <w:color w:val="000000"/>
                <w:sz w:val="20"/>
                <w:szCs w:val="20"/>
              </w:rPr>
            </w:pPr>
            <w:r>
              <w:rPr>
                <w:rFonts w:cs="Times New Roman"/>
                <w:color w:val="000000"/>
                <w:sz w:val="20"/>
                <w:szCs w:val="20"/>
              </w:rPr>
              <w:t>教坛新秀项目</w:t>
            </w:r>
          </w:p>
        </w:tc>
        <w:tc>
          <w:tcPr>
            <w:tcW w:w="4818" w:type="dxa"/>
            <w:vAlign w:val="center"/>
          </w:tcPr>
          <w:p>
            <w:pPr>
              <w:jc w:val="left"/>
              <w:rPr>
                <w:rFonts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社会医学</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Times New Roman" w:hAnsi="Times New Roman" w:eastAsia="宋体" w:cs="Times New Roman"/>
                <w:color w:val="000000"/>
                <w:sz w:val="20"/>
                <w:szCs w:val="20"/>
              </w:rPr>
            </w:pPr>
            <w:r>
              <w:rPr>
                <w:rFonts w:ascii="Times New Roman" w:hAnsi="Times New Roman" w:eastAsia="宋体" w:cs="Times New Roman"/>
                <w:color w:val="000000"/>
                <w:sz w:val="20"/>
                <w:szCs w:val="20"/>
              </w:rPr>
              <w:t>王筱婷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vAlign w:val="center"/>
          </w:tcPr>
          <w:p>
            <w:pPr>
              <w:spacing w:line="276" w:lineRule="auto"/>
              <w:jc w:val="left"/>
              <w:rPr>
                <w:rFonts w:ascii="Times New Roman" w:hAnsi="Times New Roman" w:cs="Times New Roman"/>
                <w:sz w:val="20"/>
                <w:szCs w:val="20"/>
              </w:rPr>
            </w:pPr>
            <w:r>
              <w:rPr>
                <w:rFonts w:hint="eastAsia" w:ascii="Times New Roman" w:hAnsi="Times New Roman" w:cs="Times New Roman"/>
                <w:sz w:val="20"/>
                <w:szCs w:val="20"/>
              </w:rPr>
              <w:t>28</w:t>
            </w:r>
          </w:p>
        </w:tc>
        <w:tc>
          <w:tcPr>
            <w:tcW w:w="1819" w:type="dxa"/>
            <w:vMerge w:val="continue"/>
            <w:vAlign w:val="center"/>
          </w:tcPr>
          <w:p>
            <w:pPr>
              <w:jc w:val="left"/>
              <w:rPr>
                <w:rFonts w:cs="Times New Roman"/>
                <w:color w:val="000000"/>
                <w:sz w:val="20"/>
                <w:szCs w:val="20"/>
              </w:rPr>
            </w:pPr>
          </w:p>
        </w:tc>
        <w:tc>
          <w:tcPr>
            <w:tcW w:w="4818" w:type="dxa"/>
            <w:vAlign w:val="center"/>
          </w:tcPr>
          <w:p>
            <w:pPr>
              <w:jc w:val="left"/>
              <w:rPr>
                <w:rFonts w:ascii="宋体" w:hAnsi="宋体" w:eastAsia="宋体" w:cs="宋体"/>
                <w:color w:val="000000"/>
                <w:sz w:val="20"/>
                <w:szCs w:val="20"/>
              </w:rPr>
            </w:pPr>
            <w:r>
              <w:rPr>
                <w:rFonts w:ascii="宋体" w:hAnsi="宋体" w:eastAsia="宋体" w:cs="宋体"/>
                <w:color w:val="000000"/>
                <w:sz w:val="20"/>
                <w:szCs w:val="20"/>
              </w:rPr>
              <w:t>管理学基础</w:t>
            </w:r>
          </w:p>
        </w:tc>
        <w:tc>
          <w:tcPr>
            <w:tcW w:w="851" w:type="dxa"/>
            <w:vAlign w:val="center"/>
          </w:tcPr>
          <w:p>
            <w:pPr>
              <w:jc w:val="left"/>
              <w:rPr>
                <w:sz w:val="20"/>
                <w:szCs w:val="20"/>
              </w:rPr>
            </w:pPr>
            <w:r>
              <w:rPr>
                <w:rFonts w:ascii="Times New Roman" w:hAnsi="Times New Roman" w:cs="Times New Roman"/>
                <w:sz w:val="20"/>
                <w:szCs w:val="20"/>
              </w:rPr>
              <w:t>1</w:t>
            </w:r>
          </w:p>
        </w:tc>
        <w:tc>
          <w:tcPr>
            <w:tcW w:w="850" w:type="dxa"/>
            <w:vAlign w:val="center"/>
          </w:tcPr>
          <w:p>
            <w:pPr>
              <w:jc w:val="left"/>
              <w:rPr>
                <w:rFonts w:ascii="宋体" w:hAnsi="宋体" w:eastAsia="宋体" w:cs="宋体"/>
                <w:color w:val="000000"/>
                <w:sz w:val="20"/>
                <w:szCs w:val="20"/>
              </w:rPr>
            </w:pPr>
            <w:r>
              <w:rPr>
                <w:rFonts w:hint="eastAsia"/>
                <w:color w:val="000000"/>
                <w:sz w:val="20"/>
                <w:szCs w:val="20"/>
              </w:rPr>
              <w:t>王婧</w:t>
            </w:r>
          </w:p>
        </w:tc>
      </w:tr>
    </w:tbl>
    <w:p>
      <w:pPr>
        <w:spacing w:line="360" w:lineRule="auto"/>
        <w:ind w:firstLine="420" w:firstLineChars="200"/>
        <w:rPr>
          <w:rFonts w:ascii="Times New Roman" w:hAnsi="Times New Roman" w:cs="Times New Roman"/>
          <w:vertAlign w:val="superscrip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ZjBjYjliOTBkZDc0ODI4NDc2MTMxZGYyOThmYmYifQ=="/>
  </w:docVars>
  <w:rsids>
    <w:rsidRoot w:val="00BF452F"/>
    <w:rsid w:val="0001672F"/>
    <w:rsid w:val="0003354D"/>
    <w:rsid w:val="0029390F"/>
    <w:rsid w:val="002F4088"/>
    <w:rsid w:val="002F7FE9"/>
    <w:rsid w:val="00366BC5"/>
    <w:rsid w:val="0039229A"/>
    <w:rsid w:val="003D5248"/>
    <w:rsid w:val="005C1CFA"/>
    <w:rsid w:val="00607296"/>
    <w:rsid w:val="006E5549"/>
    <w:rsid w:val="007358C0"/>
    <w:rsid w:val="0076588D"/>
    <w:rsid w:val="007A6229"/>
    <w:rsid w:val="00880B2F"/>
    <w:rsid w:val="00921130"/>
    <w:rsid w:val="00961DD7"/>
    <w:rsid w:val="00A0442A"/>
    <w:rsid w:val="00A20ACE"/>
    <w:rsid w:val="00A3444F"/>
    <w:rsid w:val="00A54F32"/>
    <w:rsid w:val="00A61FB5"/>
    <w:rsid w:val="00BF452F"/>
    <w:rsid w:val="00C54288"/>
    <w:rsid w:val="00C82B7C"/>
    <w:rsid w:val="00CC0E86"/>
    <w:rsid w:val="00DA3D95"/>
    <w:rsid w:val="00E57493"/>
    <w:rsid w:val="00F26A5B"/>
    <w:rsid w:val="00F40DBE"/>
    <w:rsid w:val="3A490165"/>
    <w:rsid w:val="5C4D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212</Words>
  <Characters>1212</Characters>
  <Lines>10</Lines>
  <Paragraphs>2</Paragraphs>
  <TotalTime>9</TotalTime>
  <ScaleCrop>false</ScaleCrop>
  <LinksUpToDate>false</LinksUpToDate>
  <CharactersWithSpaces>1422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2023-09-29T03:45:00Z</dcterms:created>
  <dc:creator>zhf198317</dc:creator>
  <cp:lastModifiedBy>WPS_1683789175</cp:lastModifiedBy>
  <cp:lastPrinted>2023-10-01T07:57:00Z</cp:lastPrinted>
  <dcterms:modified xsi:type="dcterms:W3CDTF">2023-10-27T03:36:57Z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D6FC3D9098FC4128926051BE8BF326BF_13</vt:lpwstr>
  </property>
</Properties>
</file>